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C812" w14:textId="7AC9E636" w:rsidR="00AA4290" w:rsidRDefault="00AA4290" w:rsidP="00AA4290">
      <w:pPr>
        <w:pStyle w:val="Titre1"/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Saint Jacques du Haut-Pas</w:t>
      </w:r>
    </w:p>
    <w:p w14:paraId="6B152624" w14:textId="086F70F0" w:rsidR="00AA4290" w:rsidRPr="00A6262F" w:rsidRDefault="00AA4290" w:rsidP="00AA4290">
      <w:pPr>
        <w:pStyle w:val="Titre1"/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</w:rPr>
        <w:t>Groupe synodal « GOUVERNANCE »</w:t>
      </w:r>
    </w:p>
    <w:p w14:paraId="31984635" w14:textId="282E4795" w:rsidR="000D629C" w:rsidRPr="00C66EFE" w:rsidRDefault="00C66EFE" w:rsidP="000D629C">
      <w:pPr>
        <w:jc w:val="center"/>
        <w:rPr>
          <w:rFonts w:ascii="Tw Cen MT" w:eastAsiaTheme="majorEastAsia" w:hAnsi="Tw Cen MT" w:cstheme="majorBidi"/>
          <w:bCs/>
          <w:i/>
          <w:iCs/>
          <w:color w:val="2F5496" w:themeColor="accent1" w:themeShade="BF"/>
          <w:szCs w:val="28"/>
        </w:rPr>
      </w:pPr>
      <w:proofErr w:type="gramStart"/>
      <w:r w:rsidRPr="00C66EFE">
        <w:rPr>
          <w:rFonts w:ascii="Tw Cen MT" w:eastAsiaTheme="majorEastAsia" w:hAnsi="Tw Cen MT" w:cstheme="majorBidi"/>
          <w:bCs/>
          <w:i/>
          <w:iCs/>
          <w:color w:val="2F5496" w:themeColor="accent1" w:themeShade="BF"/>
          <w:szCs w:val="28"/>
        </w:rPr>
        <w:t>de</w:t>
      </w:r>
      <w:proofErr w:type="gramEnd"/>
    </w:p>
    <w:p w14:paraId="1B25E01D" w14:textId="77777777" w:rsidR="000D629C" w:rsidRDefault="000D629C" w:rsidP="000D629C">
      <w:pPr>
        <w:jc w:val="center"/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</w:pPr>
    </w:p>
    <w:p w14:paraId="45BCD4EF" w14:textId="4251C628" w:rsidR="00410890" w:rsidRPr="000D629C" w:rsidRDefault="000D629C" w:rsidP="000D629C">
      <w:pPr>
        <w:jc w:val="center"/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</w:pPr>
      <w:r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 xml:space="preserve">Hubert Tardieu, </w:t>
      </w:r>
      <w:r w:rsidRPr="0045215D"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 xml:space="preserve">Anne </w:t>
      </w:r>
      <w:proofErr w:type="spellStart"/>
      <w:r w:rsidRPr="0045215D"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>Loj</w:t>
      </w:r>
      <w:proofErr w:type="spellEnd"/>
      <w:r w:rsidRPr="0045215D"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>,</w:t>
      </w:r>
      <w:r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 xml:space="preserve"> Emmanuelle Souillac, </w:t>
      </w:r>
      <w:r w:rsidR="0045215D"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 xml:space="preserve">A. </w:t>
      </w:r>
      <w:r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 xml:space="preserve">Lecointre, Dominique Blanc, Mireille </w:t>
      </w:r>
      <w:proofErr w:type="spellStart"/>
      <w:r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>Sacotte</w:t>
      </w:r>
      <w:proofErr w:type="spellEnd"/>
      <w:r>
        <w:rPr>
          <w:rFonts w:ascii="Tw Cen MT" w:eastAsiaTheme="majorEastAsia" w:hAnsi="Tw Cen MT" w:cstheme="majorBidi"/>
          <w:bCs/>
          <w:color w:val="2F5496" w:themeColor="accent1" w:themeShade="BF"/>
          <w:szCs w:val="28"/>
        </w:rPr>
        <w:t xml:space="preserve">, Danielle Tardieu, Maud et Stanislas Delatte. </w:t>
      </w:r>
      <w:r w:rsidR="00E00721" w:rsidRPr="00102202">
        <w:rPr>
          <w:rFonts w:ascii="Times New Roman" w:hAnsi="Times New Roman" w:cs="Times New Roman"/>
        </w:rPr>
        <w:t xml:space="preserve">                                     </w:t>
      </w:r>
    </w:p>
    <w:p w14:paraId="78419C61" w14:textId="77777777" w:rsidR="00410890" w:rsidRPr="00102202" w:rsidRDefault="00410890" w:rsidP="00102202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5B6F58EE" w14:textId="35940C28" w:rsidR="000D629C" w:rsidRDefault="000D629C" w:rsidP="000D629C">
      <w:pPr>
        <w:jc w:val="both"/>
        <w:rPr>
          <w:rFonts w:ascii="Tw Cen MT" w:hAnsi="Tw Cen MT"/>
          <w:b/>
          <w:bCs/>
          <w:sz w:val="28"/>
          <w:szCs w:val="28"/>
        </w:rPr>
      </w:pPr>
      <w:r w:rsidRPr="00F475CA">
        <w:rPr>
          <w:rFonts w:ascii="Tw Cen MT" w:hAnsi="Tw Cen MT"/>
          <w:b/>
          <w:bCs/>
          <w:sz w:val="28"/>
          <w:szCs w:val="28"/>
        </w:rPr>
        <w:t>MISSION « </w:t>
      </w:r>
      <w:r>
        <w:rPr>
          <w:rFonts w:ascii="Tw Cen MT" w:hAnsi="Tw Cen MT"/>
          <w:b/>
          <w:bCs/>
          <w:sz w:val="28"/>
          <w:szCs w:val="28"/>
        </w:rPr>
        <w:t xml:space="preserve">CONTRIBUER </w:t>
      </w:r>
      <w:r w:rsidR="0045215D">
        <w:rPr>
          <w:rFonts w:ascii="Tw Cen MT" w:hAnsi="Tw Cen MT"/>
          <w:b/>
          <w:bCs/>
          <w:sz w:val="28"/>
          <w:szCs w:val="28"/>
        </w:rPr>
        <w:t>À</w:t>
      </w:r>
      <w:r>
        <w:rPr>
          <w:rFonts w:ascii="Tw Cen MT" w:hAnsi="Tw Cen MT"/>
          <w:b/>
          <w:bCs/>
          <w:sz w:val="28"/>
          <w:szCs w:val="28"/>
        </w:rPr>
        <w:t xml:space="preserve"> AM</w:t>
      </w:r>
      <w:r w:rsidR="0045215D">
        <w:rPr>
          <w:rFonts w:ascii="Tw Cen MT" w:hAnsi="Tw Cen MT"/>
          <w:b/>
          <w:bCs/>
          <w:sz w:val="28"/>
          <w:szCs w:val="28"/>
        </w:rPr>
        <w:t>É</w:t>
      </w:r>
      <w:r>
        <w:rPr>
          <w:rFonts w:ascii="Tw Cen MT" w:hAnsi="Tw Cen MT"/>
          <w:b/>
          <w:bCs/>
          <w:sz w:val="28"/>
          <w:szCs w:val="28"/>
        </w:rPr>
        <w:t>LIORER LA GOUVERNANCE DE LA PAROISSE</w:t>
      </w:r>
      <w:r w:rsidR="00C33584">
        <w:rPr>
          <w:rFonts w:ascii="Tw Cen MT" w:hAnsi="Tw Cen MT"/>
          <w:b/>
          <w:bCs/>
          <w:sz w:val="28"/>
          <w:szCs w:val="28"/>
        </w:rPr>
        <w:t xml:space="preserve"> </w:t>
      </w:r>
      <w:r w:rsidRPr="00F475CA">
        <w:rPr>
          <w:rFonts w:ascii="Tw Cen MT" w:hAnsi="Tw Cen MT"/>
          <w:b/>
          <w:bCs/>
          <w:sz w:val="28"/>
          <w:szCs w:val="28"/>
        </w:rPr>
        <w:t>»</w:t>
      </w:r>
      <w:r w:rsidR="00C33584">
        <w:rPr>
          <w:rFonts w:ascii="Tw Cen MT" w:hAnsi="Tw Cen MT"/>
          <w:b/>
          <w:bCs/>
          <w:sz w:val="28"/>
          <w:szCs w:val="28"/>
        </w:rPr>
        <w:t>.</w:t>
      </w:r>
    </w:p>
    <w:p w14:paraId="775A5EDC" w14:textId="77777777" w:rsidR="000D629C" w:rsidRPr="00F475CA" w:rsidRDefault="000D629C" w:rsidP="000D629C">
      <w:pPr>
        <w:jc w:val="both"/>
        <w:rPr>
          <w:rFonts w:ascii="Tw Cen MT" w:hAnsi="Tw Cen MT"/>
          <w:b/>
          <w:bCs/>
          <w:sz w:val="28"/>
          <w:szCs w:val="28"/>
        </w:rPr>
      </w:pPr>
    </w:p>
    <w:p w14:paraId="6BF1D424" w14:textId="19E95D74" w:rsidR="00C33584" w:rsidRPr="00C33584" w:rsidRDefault="000D629C" w:rsidP="00102202">
      <w:pPr>
        <w:spacing w:after="200" w:line="276" w:lineRule="auto"/>
        <w:jc w:val="both"/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</w:pP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D</w:t>
      </w:r>
      <w:r w:rsidR="009548F5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ans la continuité du synode sur la </w:t>
      </w:r>
      <w:proofErr w:type="spellStart"/>
      <w:r w:rsidR="009548F5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synodalit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é</w:t>
      </w:r>
      <w:proofErr w:type="spellEnd"/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, le groupe </w:t>
      </w:r>
      <w:r w:rsidR="00324357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« Gouvernance » 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a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réfléchi </w:t>
      </w:r>
      <w:r w:rsidR="0045215D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à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des propositions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qui </w:t>
      </w:r>
      <w:r w:rsidR="00C33584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permettent de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="009548F5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mieux </w:t>
      </w:r>
      <w:r w:rsidR="00C33584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faire </w:t>
      </w:r>
      <w:r w:rsidR="009548F5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participer les laïcs aux décisions </w:t>
      </w:r>
      <w:r w:rsidR="00D97213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concernant la paroisse. </w:t>
      </w:r>
    </w:p>
    <w:p w14:paraId="3463DD56" w14:textId="7EAE7CB6" w:rsidR="00C33584" w:rsidRPr="00AD041B" w:rsidRDefault="00D97213" w:rsidP="00C33584">
      <w:pPr>
        <w:spacing w:after="200" w:line="276" w:lineRule="auto"/>
        <w:jc w:val="both"/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</w:pP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Pour cela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le groupe a travaillé sur</w:t>
      </w:r>
      <w:r w:rsidR="009548F5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d</w:t>
      </w:r>
      <w:r w:rsidR="009548F5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es instances de gouvernance lisibles et transparentes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. Des 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schémas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d’organisation, de mission et de gouvernance </w:t>
      </w:r>
      <w:r w:rsidR="00324357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pour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la constitution d’une équipe pastorale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,</w:t>
      </w:r>
      <w:r w:rsidR="00324357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en maintenant ou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pas le</w:t>
      </w:r>
      <w:r w:rsidR="00324357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conseil </w:t>
      </w:r>
      <w:r w:rsidR="00324357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pastoral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,</w:t>
      </w:r>
      <w:r w:rsidR="00324357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pourront être partagées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en atelier.</w:t>
      </w:r>
      <w:r w:rsidR="00324357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</w:p>
    <w:p w14:paraId="2E04A8D7" w14:textId="005ABF27" w:rsidR="00D97213" w:rsidRPr="00C33584" w:rsidRDefault="00C33584" w:rsidP="00C33584">
      <w:pPr>
        <w:spacing w:after="200" w:line="276" w:lineRule="auto"/>
        <w:jc w:val="both"/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</w:pPr>
      <w:r w:rsidRPr="00C33584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ASSEMBLEE PAROISSIALE</w:t>
      </w:r>
    </w:p>
    <w:p w14:paraId="73C15AEA" w14:textId="06F34F67" w:rsidR="00C33584" w:rsidRPr="00AD041B" w:rsidRDefault="00C1237B" w:rsidP="00C33584">
      <w:pPr>
        <w:spacing w:after="200" w:line="276" w:lineRule="auto"/>
        <w:jc w:val="both"/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</w:pP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La première étape du synode à Saint Jacques a </w:t>
      </w:r>
      <w:r w:rsidR="001B12CD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évoqué l’idée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d’organiser </w:t>
      </w:r>
      <w:r w:rsidR="00017703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une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Assemblée Paroissiale qui reprenne l’ensemble des propositions issues des travaux synodaux 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pour acter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une mise en œuvre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des propositions.</w:t>
      </w:r>
      <w:r w:rsidR="00D62D30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L</w:t>
      </w:r>
      <w:r w:rsidR="00017703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e groupe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suggère de s’inspirer d’organisation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s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similaires ayant fait leur preuve dans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d’autres paroisses du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diocèse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.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Un 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groupe de travail 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pourrait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prépar</w:t>
      </w:r>
      <w:r w:rsidR="00AD041B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er</w:t>
      </w:r>
      <w:r w:rsidR="002B24AE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cette Assemblée Paroissiale. </w:t>
      </w:r>
    </w:p>
    <w:p w14:paraId="334A6E4B" w14:textId="64DC554D" w:rsidR="00C33584" w:rsidRPr="00C33584" w:rsidRDefault="00C33584" w:rsidP="00C33584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C33584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CONCLUSION</w:t>
      </w:r>
    </w:p>
    <w:p w14:paraId="73742C21" w14:textId="040C3F12" w:rsidR="00C33584" w:rsidRPr="00C33584" w:rsidRDefault="00C33584" w:rsidP="00102202">
      <w:pPr>
        <w:spacing w:after="200" w:line="276" w:lineRule="auto"/>
        <w:jc w:val="both"/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</w:pP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En point d’orgue à notre démarche synodale, l</w:t>
      </w:r>
      <w:r w:rsidR="00CD5A3D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’ouverture vers le quartier, une participation 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plus grande </w:t>
      </w:r>
      <w:r w:rsidR="00CD5A3D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des laïcs</w:t>
      </w:r>
      <w:r w:rsidR="0031206F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,</w:t>
      </w:r>
      <w:r w:rsidR="00376879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un</w:t>
      </w:r>
      <w:r w:rsidR="0031206F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renouveau de certaines activités, une place plus importante réservée aux jeunes </w:t>
      </w:r>
      <w:r w:rsidR="00CD5A3D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sont les différentes facettes d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>u</w:t>
      </w:r>
      <w:r w:rsidR="00CD5A3D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 nouveau souffle 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recherché </w:t>
      </w:r>
      <w:r w:rsidR="00CD5A3D"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pour Saint Jacques </w:t>
      </w:r>
      <w:r w:rsidRPr="00C33584">
        <w:rPr>
          <w:rFonts w:ascii="Tw Cen MT" w:eastAsiaTheme="minorHAnsi" w:hAnsi="Tw Cen MT" w:cstheme="minorBidi"/>
          <w:i/>
          <w:kern w:val="0"/>
          <w:sz w:val="28"/>
          <w:szCs w:val="28"/>
          <w:lang w:eastAsia="en-US" w:bidi="ar-SA"/>
        </w:rPr>
        <w:t xml:space="preserve">du Haut Pas. </w:t>
      </w:r>
    </w:p>
    <w:p w14:paraId="578872F2" w14:textId="77777777" w:rsidR="00C33584" w:rsidRDefault="00C33584" w:rsidP="00102202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1842AA" w14:textId="364A325A" w:rsidR="00410890" w:rsidRPr="00C11230" w:rsidRDefault="00C33584" w:rsidP="004521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</w:pP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POUR 16 AVRIL CONFIRMONS OU NON NOTRE INT</w:t>
      </w:r>
      <w:r w:rsidR="0045215D"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É</w:t>
      </w: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R</w:t>
      </w:r>
      <w:r w:rsidR="0045215D"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Ê</w:t>
      </w: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 xml:space="preserve">T </w:t>
      </w:r>
      <w:r w:rsidR="0045215D"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À</w:t>
      </w: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 xml:space="preserve"> ORGANISER UNE ASSEMBL</w:t>
      </w:r>
      <w:r w:rsidR="0045215D"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É</w:t>
      </w: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E PAROISSIALE PREPAR</w:t>
      </w:r>
      <w:r w:rsidR="0045215D"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É</w:t>
      </w: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 xml:space="preserve">E PAR </w:t>
      </w:r>
      <w:r w:rsidR="00AD041B"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DES</w:t>
      </w: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 xml:space="preserve"> GROUPE</w:t>
      </w:r>
      <w:r w:rsidR="00AD041B"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>S</w:t>
      </w:r>
      <w:r w:rsidRPr="00C11230">
        <w:rPr>
          <w:rFonts w:ascii="Tw Cen MT" w:eastAsiaTheme="minorHAnsi" w:hAnsi="Tw Cen MT" w:cstheme="minorBidi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C11230">
        <w:rPr>
          <w:rFonts w:ascii="Tw Cen MT" w:eastAsiaTheme="minorHAnsi" w:hAnsi="Tw Cen MT" w:cstheme="minorBidi"/>
          <w:b/>
          <w:bCs/>
          <w:i/>
          <w:iCs/>
          <w:kern w:val="0"/>
          <w:sz w:val="28"/>
          <w:szCs w:val="28"/>
          <w:lang w:eastAsia="en-US" w:bidi="ar-SA"/>
        </w:rPr>
        <w:t>AD HOC</w:t>
      </w:r>
    </w:p>
    <w:sectPr w:rsidR="00410890" w:rsidRPr="00C11230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5157"/>
    <w:multiLevelType w:val="hybridMultilevel"/>
    <w:tmpl w:val="8E2EE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7E5F"/>
    <w:multiLevelType w:val="hybridMultilevel"/>
    <w:tmpl w:val="EA5678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370960"/>
    <w:multiLevelType w:val="hybridMultilevel"/>
    <w:tmpl w:val="E89895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049B9"/>
    <w:multiLevelType w:val="hybridMultilevel"/>
    <w:tmpl w:val="8FA886AA"/>
    <w:lvl w:ilvl="0" w:tplc="7452FE18">
      <w:start w:val="5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135379">
    <w:abstractNumId w:val="2"/>
  </w:num>
  <w:num w:numId="2" w16cid:durableId="2080133380">
    <w:abstractNumId w:val="3"/>
  </w:num>
  <w:num w:numId="3" w16cid:durableId="56588497">
    <w:abstractNumId w:val="0"/>
  </w:num>
  <w:num w:numId="4" w16cid:durableId="159346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90"/>
    <w:rsid w:val="00017703"/>
    <w:rsid w:val="000A22D5"/>
    <w:rsid w:val="000C0F30"/>
    <w:rsid w:val="000D629C"/>
    <w:rsid w:val="00102202"/>
    <w:rsid w:val="00193BC6"/>
    <w:rsid w:val="001B12CD"/>
    <w:rsid w:val="002B24AE"/>
    <w:rsid w:val="002E485C"/>
    <w:rsid w:val="0031206F"/>
    <w:rsid w:val="00320495"/>
    <w:rsid w:val="00324357"/>
    <w:rsid w:val="00376879"/>
    <w:rsid w:val="00377C3D"/>
    <w:rsid w:val="00410890"/>
    <w:rsid w:val="0045215D"/>
    <w:rsid w:val="00537FE6"/>
    <w:rsid w:val="00545EF6"/>
    <w:rsid w:val="00565892"/>
    <w:rsid w:val="00691BF6"/>
    <w:rsid w:val="006B299E"/>
    <w:rsid w:val="006B616D"/>
    <w:rsid w:val="006D403C"/>
    <w:rsid w:val="007C7917"/>
    <w:rsid w:val="008A13B9"/>
    <w:rsid w:val="009548F5"/>
    <w:rsid w:val="00AA4290"/>
    <w:rsid w:val="00AA6F79"/>
    <w:rsid w:val="00AD041B"/>
    <w:rsid w:val="00C11230"/>
    <w:rsid w:val="00C1237B"/>
    <w:rsid w:val="00C33584"/>
    <w:rsid w:val="00C66EFE"/>
    <w:rsid w:val="00CC2762"/>
    <w:rsid w:val="00CD5A3D"/>
    <w:rsid w:val="00D20414"/>
    <w:rsid w:val="00D62D30"/>
    <w:rsid w:val="00D8359C"/>
    <w:rsid w:val="00D97213"/>
    <w:rsid w:val="00E00721"/>
    <w:rsid w:val="00E9445C"/>
    <w:rsid w:val="00EA6EBF"/>
    <w:rsid w:val="00F05BC2"/>
    <w:rsid w:val="00F47F1F"/>
    <w:rsid w:val="00F703BD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E4A7"/>
  <w15:docId w15:val="{CD3ABFD1-4969-486D-BC62-E857F8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AA4290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Marquedecommentaire">
    <w:name w:val="annotation reference"/>
    <w:basedOn w:val="Policepardfaut"/>
    <w:uiPriority w:val="99"/>
    <w:semiHidden/>
    <w:unhideWhenUsed/>
    <w:rsid w:val="00954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8F5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8F5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8F5"/>
    <w:rPr>
      <w:rFonts w:cs="Mangal"/>
      <w:b/>
      <w:bCs/>
      <w:sz w:val="20"/>
      <w:szCs w:val="18"/>
    </w:rPr>
  </w:style>
  <w:style w:type="paragraph" w:styleId="Paragraphedeliste">
    <w:name w:val="List Paragraph"/>
    <w:basedOn w:val="Normal"/>
    <w:uiPriority w:val="34"/>
    <w:qFormat/>
    <w:rsid w:val="00AA6F79"/>
    <w:pPr>
      <w:ind w:left="720"/>
      <w:contextualSpacing/>
    </w:pPr>
    <w:rPr>
      <w:rFonts w:cs="Mangal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AA42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customStyle="1" w:styleId="apple-converted-space">
    <w:name w:val="apple-converted-space"/>
    <w:basedOn w:val="Policepardfaut"/>
    <w:rsid w:val="00F47F1F"/>
  </w:style>
  <w:style w:type="character" w:styleId="Lienhypertexte">
    <w:name w:val="Hyperlink"/>
    <w:basedOn w:val="Policepardfaut"/>
    <w:uiPriority w:val="99"/>
    <w:unhideWhenUsed/>
    <w:rsid w:val="00F47F1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629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247B-2E71-4652-8E1B-71261B59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Lecointre</dc:creator>
  <dc:description/>
  <cp:lastModifiedBy>Claire CHAVASSE</cp:lastModifiedBy>
  <cp:revision>3</cp:revision>
  <dcterms:created xsi:type="dcterms:W3CDTF">2023-04-04T21:21:00Z</dcterms:created>
  <dcterms:modified xsi:type="dcterms:W3CDTF">2023-05-03T07:10:00Z</dcterms:modified>
  <dc:language>fr-FR</dc:language>
</cp:coreProperties>
</file>